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Choisis une Lettre et Prononce-la</w:t>
      </w:r>
    </w:p>
    <w:p>
      <w:pPr>
        <w:pStyle w:val="categoryParagrphStyle"/>
      </w:pPr>
      <w:r>
        <w:rPr>
          <w:rStyle w:val="categoryFontStyle"/>
        </w:rPr>
        <w:t xml:space="preserve">Braille | Caractères</w:t>
      </w:r>
    </w:p>
    <w:tbl>
      <w:tblGrid>
        <w:gridCol w:w="3150" w:type="dxa"/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Placer des lettres sur une plaque. Les prononcer ; prévoir des actions appropriées pour identifier les lettres correspondantes.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15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Lis la lettre sur la plaque avec les deux mains.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Choisis une lettre dans le bol.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Lis cette lettre à voix haute.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Trouve la même lettre sur la plaque.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Place les deux lettres identiques ensemble.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2 lots identiques de 5 lettres chacun.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</w:p>
    <w:p>
      <w:pPr/>
      <w:r>
        <w:rPr>
          <w:rFonts w:ascii="Calibri" w:hAnsi="Calibri" w:eastAsia="Calibri" w:cs="Calibri"/>
        </w:rPr>
        <w:t xml:space="preserve">Un lot de lettres est dans le bol et l’autre aligné horizontalement sur la plaque.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Suggérer “Imagine une histoire qui utilise le son des lettres”.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Il peut être plus difficile de trouver les briques si elles sont alignées en colonne, plutôt qu’en ligne : des sensibilités tactiles différentes sont utilisées !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Choisir des lettres avec des sons similaires.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Augmenter le nombre de lettres.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Mettre une (ou plusieurs) brique(s) supplémentaire(s) dans le bol afin que l’enfant doive ignorer certaines briques.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Placer les lettres en ligne, en colonne ou aléatoirement.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Augmenter le nombre de joueurs : chaque joueur a une plaque avec les mêmes lettres et le bol est au centre.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Identifier les lettres et leur ordre, puis, en fonction de la lettre, ses valeurs sonores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Faire le son d’une lettre et compter les syllabes phoniques d’un mot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Explorer les sons vocaux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Solliciter des informations ou une assistance auprès de personnes appropriées dans différents contextes</w:t>
      </w:r>
    </w:p>
    <w:p>
      <w:pPr/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Les compétences créatives sont utilisées pour trouver des idées, les exprimer et les réaliser en créant des associations, en symbolisant et en fournissant une expérience significative aux autres.</w:t>
      </w:r>
    </w:p>
    <w:p/>
    <w:p/>
    <w:sectPr>
      <w:footerReference w:type="default" r:id="rId15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FE1611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D9A67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C61FD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638E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BFF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EF4BF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A1C78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C2256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2020-11-01T05:44:24+00:00</dcterms:created>
  <dcterms:modified xsi:type="dcterms:W3CDTF">2020-11-01T05:44:24+00:00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