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Triche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Identifier les lettres dans le cadre d'un jeu entre pairs pour découvrir la différence entre les consonnes et les voyelles. Tricher pour gagner le jeu !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Enfonce une brique à l’envers dans la pâte à modeler en déclarant qu’il s’agit d’une « consonne » ou d’une « voyelle ».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Si tu penses que le joueur 1 dit la vérité, place une de tes propres briques dans la pâte et déclare « consonne » ou « voyelle ».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Si tu ne crois pas le joueur 1, dis « tricheur » et retire la brique pour l’examiner avec lui.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Si l’un des joueurs est pris en train de tricher ou accuse à tort l’autre de tricher, ce joueur doit prendre toutes les briques ayant été jouées (encore sur la pâte à modeler)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Le premier à jouer toutes ses briques gagne.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16 briques : mélange de voyelles et de consonnes et 2 autres signes (lettre majuscule et signe numérique)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Pâte à modeler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2 bols</w:t>
      </w:r>
    </w:p>
    <w:p>
      <w:pPr/>
      <w:r>
        <w:rPr>
          <w:rFonts w:ascii="Calibri" w:hAnsi="Calibri" w:eastAsia="Calibri" w:cs="Calibri"/>
        </w:rPr>
        <w:t xml:space="preserve">Faire deux paquets de 8 briques de façon aléatoire et les placer dans les bols.</w:t>
      </w:r>
    </w:p>
    <w:p>
      <w:pPr/>
      <w:r>
        <w:rPr>
          <w:rFonts w:ascii="Calibri" w:hAnsi="Calibri" w:eastAsia="Calibri" w:cs="Calibri"/>
        </w:rPr>
        <w:t xml:space="preserve">Étaler un gros morceau de pâte à modeler jusqu’à ce qu’il soit plat pour maintenir les briques à l’envers pendant l’activité.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Les briques sont encastrées dans la pâte à modeler pour les maintenir dans la même position pendant l’activité.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Encourager les élèves à jouer à tour de rôle, ce qui peut être difficile pour les jeunes enfants.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Demander « Quelle est ta stratégie pour gagner ?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Augmenter le nombre de joueurs en distribuant plus de briques.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Modifier le nombre et/ou les types de briques.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Modifier le nombre de briques inhabituelles (signes de ponctuation).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Découvrir la fonction de l’écrit: utiliser le vocabulaire pour nommer les unités de la langue : mot, lettre, syllabe, son, phrase, texte, ligne, majuscule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Lire à voix haute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Développer les compétences de suivi tactile : repérer, lire un nombre identifié de mots ou de lettres sur une ligne (par exemple le 4e mot de la ligne 2)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Comprendre les règles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Les adultes ont un rôle important à jouer pour aider les jeunes enfants à apprendre des jeux, notamment en enseignant les règles et en se relayant.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8B5189B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0D31A73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A132423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8CD807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A404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F8609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106B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B11BA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9E89C5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8E2E5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E6F6F2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2020-11-01T05:44:11+00:00</dcterms:created>
  <dcterms:modified xsi:type="dcterms:W3CDTF">2020-11-01T05:44:11+00:00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