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Empreintes dans la Pâte à Modeler</w:t>
      </w:r>
    </w:p>
    <w:p>
      <w:pPr>
        <w:pStyle w:val="categoryParagrphStyle"/>
      </w:pPr>
      <w:r>
        <w:rPr>
          <w:rStyle w:val="categoryFontStyle"/>
        </w:rPr>
        <w:t xml:space="preserve">Pre-braille | Manipulation</w:t>
      </w:r>
    </w:p>
    <w:tbl>
      <w:tblGrid>
        <w:gridCol w:w="3150" w:type="dxa"/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Développer la force des mains et des doigts, reconnaître les relations spatiales par l'expression de soi dans une activité artistique.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20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Roule et aplatis la boule de pâte à modeler en un disque d’environ 5cm d’épaisseur.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Choisis et place suffisamment de briques pour faire une rangée sur toute la largeur du disque.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Enfonce-les dans la pâte à modeler pour créer un ciel en haut et un océan en bas.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Prends une autre brique, sens le plot dessus et utilise-le pour faire quelques oiseaux dans le ciel et plusieurs poissons dans l’océan.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Explore doucement la pâte à modeler pour découvrir les empreintes des animaux que tu viens de faire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Ajoute plus de détails !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10 briques de la lettre “A”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De la pâte à modeler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bol</w:t>
      </w:r>
    </w:p>
    <w:p>
      <w:pPr/>
      <w:r>
        <w:rPr>
          <w:rFonts w:ascii="Calibri" w:hAnsi="Calibri" w:eastAsia="Calibri" w:cs="Calibri"/>
        </w:rPr>
        <w:t xml:space="preserve">Placer les briques de 10 lettres « A » dans le bol.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« Pourquoi penses-tu qu’il y a plus de poissons que d’oiseaux ? »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« Parle-moi de ton dessin ».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« Quels autres types d’images/animaux peux-tu faire ? »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Préparer le disque à l’avance avec ou sans la ligne de séparation.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Faire la ligne de séparation avec uniquement des empreintes LEGO.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Changer la lettre.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Reconnaître les relations spatiales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S’exprimer par la construction, l’art : découvrir diverses activités d’art plastique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Développer la force des mains et des doigts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Mettre en œuvre un projet artistique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  <w:r>
        <w:rPr>
          <w:rFonts w:ascii="Calibri" w:hAnsi="Calibri" w:eastAsia="Calibri" w:cs="Calibri"/>
        </w:rPr>
        <w:t xml:space="preserve"> Social</w:t>
      </w:r>
    </w:p>
    <w:p>
      <w:pPr>
        <w:numPr>
          <w:ilvl w:val="0"/>
          <w:numId w:val="18"/>
        </w:numPr>
      </w:pPr>
      <w:r>
        <w:rPr>
          <w:rFonts w:ascii="Calibri" w:hAnsi="Calibri" w:eastAsia="Calibri" w:cs="Calibri"/>
        </w:rPr>
        <w:t xml:space="preserve">Distinguer les intérêts personnels et collectifs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L’avantage d’utiliser la pâte à modeler pour introduire les briques LEGO en braille peut simplifier le défi de la manipulation et de l’assemblage des briques.</w:t>
      </w:r>
      <w:r>
        <w:rPr>
          <w:rFonts w:ascii="Calibri" w:hAnsi="Calibri" w:eastAsia="Calibri" w:cs="Calibri"/>
        </w:rPr>
        <w:t xml:space="preserve"> </w:t>
      </w:r>
    </w:p>
    <w:p/>
    <w:p/>
    <w:sectPr>
      <w:footerReference w:type="default" r:id="rId17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C5AC46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CCCCE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4E8F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32EB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B6DF5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E2AC61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176D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A99F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0EEB12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CFFDE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2020-11-01T05:44:06+00:00</dcterms:created>
  <dcterms:modified xsi:type="dcterms:W3CDTF">2020-11-01T05:44:06+00:00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