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La forêt enchantée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Identifier les relations spatiales sur une plaque verticale, reconnaître les notions d'alignement et construire des colonnes pour créer des arbres.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Ajoute des briques à la plaque pour aider l’arbre à pousser.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Amuse-toi librement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16 briques choisies au hasard</w:t>
      </w:r>
    </w:p>
    <w:p>
      <w:pPr/>
      <w:r>
        <w:rPr>
          <w:rFonts w:ascii="Calibri" w:hAnsi="Calibri" w:eastAsia="Calibri" w:cs="Calibri"/>
        </w:rPr>
        <w:t xml:space="preserve">Appliquer du ruban adhésif à l’arrière de la plaque et la coller au mur.</w:t>
      </w:r>
    </w:p>
    <w:p>
      <w:pPr/>
      <w:r>
        <w:rPr>
          <w:rFonts w:ascii="Calibri" w:hAnsi="Calibri" w:eastAsia="Calibri" w:cs="Calibri"/>
        </w:rPr>
        <w:t xml:space="preserve">Fixer une brique horizontalement sur la plaque : dans le coin inférieur gauche.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la création d’une forêt enchantée entière.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Qu’est-ce qui en fait une forêt enchantée ? ».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Commencer l’arbre avec plus d’une brique.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En préparation, commencer plusieurs arbres.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Ne pas poser la première brique et laisser la plaque vide.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Jouer avec des camarades.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et utiliser les notions d’alignement, d’angle droit, d’égalité des longueurs, de milieu, de symétrie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Mettre en œuvre un projet artistique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Développer l’utilisation bilatérale des mains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Participer à des jeux, faire semblant de jouer, jouer verbalement avec ses pairs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La compétence créative consiste à trouver des idées, à les exprimer et à les transformer en réalité en créant des associations, en symbolisant et en représentant les idées et en fournissant une expérience significative aux autres.</w:t>
      </w:r>
      <w:r>
        <w:rPr>
          <w:rFonts w:ascii="Calibri" w:hAnsi="Calibri" w:eastAsia="Calibri" w:cs="Calibri"/>
        </w:rPr>
        <w:t xml:space="preserve"> 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3609C829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5C14FD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9007BB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80C0C4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B08CE3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8A5216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FD9E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A95147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382B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2022-03-23T12:49:47+00:00</dcterms:created>
  <dcterms:modified xsi:type="dcterms:W3CDTF">2022-03-23T12:49:47+00:00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