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Pommiers</w:t>
      </w:r>
    </w:p>
    <w:p>
      <w:pPr>
        <w:pStyle w:val="categoryParagrphStyle"/>
      </w:pPr>
      <w:r>
        <w:rPr>
          <w:rStyle w:val="categoryFontStyle"/>
        </w:rPr>
        <w:t xml:space="preserve">Pre-braille | Orientation</w:t>
      </w:r>
    </w:p>
    <w:tbl>
      <w:tblGrid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Développer la force des mains et des doigts et reconnaître les relations spatiales. Créer un verger de pommiers sur la plaque.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10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Prends une brique pommier dans le bol.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Cherche les picots sur la brique : ce sont les pommes ! La partie lisse de la brique, c’est le tronc.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Fixe le pommier à la plaque. Assure-toi que l’arbre n’est pas à l’envers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Plante autant d’arbres que possible pour faire un verger !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plaque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10 briques lettre “G”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bol</w:t>
      </w:r>
    </w:p>
    <w:p>
      <w:pPr/>
      <w:r>
        <w:rPr>
          <w:rFonts w:ascii="Calibri" w:hAnsi="Calibri" w:eastAsia="Calibri" w:cs="Calibri"/>
        </w:rPr>
        <w:t xml:space="preserve">Placer les 10 briques dans le bol.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Encourager l’exploration tactile de la brique, faire des démonstrations.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Identifier l’espace plat comme étant le bas de la brique et expliquer l’orientation de la brique en braille : espace en bas, picots en haut !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Choisir d’autres briques LEGO en braille, pas seulement « G ».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Planter d’autres pommiers sur la plaque au préalable.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Reconnaître les relations spatiales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 </w:t>
      </w:r>
      <w:r>
        <w:rPr>
          <w:rFonts w:ascii="Calibri" w:hAnsi="Calibri" w:eastAsia="Calibri" w:cs="Calibri"/>
        </w:rPr>
        <w:t xml:space="preserve">S’exprimer par la construction, l’art : découvrir diverses activités d’art plastique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Développer la force des mains et des doigts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Fonts w:ascii="Calibri" w:hAnsi="Calibri" w:eastAsia="Calibri" w:cs="Calibri"/>
        </w:rPr>
        <w:t xml:space="preserve"> Emotionnel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Mettre en œuvre un projet artistique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  <w:r>
        <w:rPr>
          <w:rFonts w:ascii="Calibri" w:hAnsi="Calibri" w:eastAsia="Calibri" w:cs="Calibri"/>
        </w:rPr>
        <w:t xml:space="preserve"> Social</w:t>
      </w:r>
    </w:p>
    <w:p>
      <w:pPr>
        <w:numPr>
          <w:ilvl w:val="0"/>
          <w:numId w:val="18"/>
        </w:numPr>
      </w:pPr>
      <w:r>
        <w:rPr>
          <w:rFonts w:ascii="Calibri" w:hAnsi="Calibri" w:eastAsia="Calibri" w:cs="Calibri"/>
        </w:rPr>
        <w:t xml:space="preserve">Distinguer l’intérêt personnel et l’intérêt collectif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Faciliter l’apprentissage des enfants n’est pas la même chose que de considérer l’enseignement comme une « livraison de contenu », car l’objectif est que les jeunes enfants comprennent les concepts et développent un large éventail de compétences qu’ils peuvent appliquer.</w:t>
      </w:r>
    </w:p>
    <w:p/>
    <w:p/>
    <w:sectPr>
      <w:footerReference w:type="default" r:id="rId16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1ADA73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DCF5E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178A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2B18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FF72EB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9483A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26ED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6902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E83D10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DFAF67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2020-11-01T00:55:47+00:00</dcterms:created>
  <dcterms:modified xsi:type="dcterms:W3CDTF">2020-11-01T00:55:47+00:00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