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Sculptures jumelles</w:t>
      </w:r>
    </w:p>
    <w:p>
      <w:pPr>
        <w:pStyle w:val="categoryParagrphStyle"/>
      </w:pPr>
      <w:r>
        <w:rPr>
          <w:rStyle w:val="categoryFontStyle"/>
        </w:rPr>
        <w:t xml:space="preserve">Pre-braille | Orientation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les techniques d'exploration tactile et de localisation des briques, pour reproduire une sculpture plane à l’identique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Trouve la sculpture créée sur l’une des plaques de base.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ton temps pour l’explorer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Réalise une sculpture jumelle identique, sur l’autre plaque de base.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8 briques de signe égal =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2 plaques de base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Créer une sculpture plane avec 4 briques, sur une plaque de base.</w:t>
      </w:r>
    </w:p>
    <w:p>
      <w:pPr/>
      <w:r>
        <w:rPr>
          <w:rFonts w:ascii="Calibri" w:hAnsi="Calibri" w:eastAsia="Calibri" w:cs="Calibri"/>
        </w:rPr>
        <w:t xml:space="preserve">Placez les 4 autres briques dans un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Prévoir suffisamment de temps d’essais/erreurs, pour créer une reproduction correcte sur la plaque de base.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de retirer et déplacer la sculpture nouvellement créée, si elle ne rentre pas sur la plaque de base.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briques ou de sculptures.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Créer des sculptures en 3D.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Jeu entre pairs : un joueur crée, l’autre reproduit la sculpture.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Reproduire, assembler, organiser, relier des modèles graphiques et en créer de nouveaux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Reconnaître et différencier les formes par le toucher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Planifier et réaliser des activités routinières ou non routinières nécessitant plusieurs étapes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Raconter, exprimer, analyser : expliquer le processus de faire, de jouer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Connaître le but de l’activité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enfants peuvent apprendre à réaliser des activités à plusieurs étapes, à résister aux distractions et à choisir des tâches adaptées à leurs intérêts et à leur niveau de compétence, tout comme ils peuvent apprendre à utiliser des stratégies plus avancées de résolution de problèmes.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14D5A7B6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121837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F8B6E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C2E139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F34687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F311B5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C82AD7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D57177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BB6631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CB86C4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2022-03-23T12:49:59+00:00</dcterms:created>
  <dcterms:modified xsi:type="dcterms:W3CDTF">2022-03-23T12:49:59+00:00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